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rPr>
      </w:pPr>
      <w:r>
        <w:rPr>
          <w:rFonts w:hint="eastAsia"/>
          <w:b/>
          <w:sz w:val="36"/>
        </w:rPr>
        <w:t>《在线偏离泡核沸腾比与线功率密度保护系统设计准则  第1部分：总体设计要求标准》编制说明</w:t>
      </w:r>
    </w:p>
    <w:p>
      <w:pPr>
        <w:jc w:val="center"/>
        <w:rPr>
          <w:b/>
          <w:sz w:val="36"/>
        </w:rPr>
      </w:pPr>
      <w:r>
        <w:rPr>
          <w:rFonts w:hint="eastAsia"/>
          <w:b/>
          <w:sz w:val="36"/>
        </w:rPr>
        <w:t>（征求意见稿）</w:t>
      </w:r>
    </w:p>
    <w:p>
      <w:pPr>
        <w:outlineLvl w:val="0"/>
        <w:rPr>
          <w:b/>
          <w:sz w:val="28"/>
          <w:szCs w:val="28"/>
        </w:rPr>
      </w:pPr>
      <w:r>
        <w:rPr>
          <w:rFonts w:hint="eastAsia"/>
          <w:b/>
          <w:sz w:val="28"/>
          <w:szCs w:val="28"/>
        </w:rPr>
        <w:t>一、工作简况</w:t>
      </w:r>
    </w:p>
    <w:p>
      <w:pPr>
        <w:rPr>
          <w:b/>
        </w:rPr>
      </w:pPr>
      <w:r>
        <w:rPr>
          <w:rFonts w:hint="eastAsia"/>
          <w:b/>
        </w:rPr>
        <w:t>1、任务来源</w:t>
      </w:r>
    </w:p>
    <w:p>
      <w:pPr>
        <w:keepNext w:val="0"/>
        <w:keepLines w:val="0"/>
        <w:pageBreakBefore w:val="0"/>
        <w:widowControl/>
        <w:kinsoku/>
        <w:wordWrap/>
        <w:overflowPunct/>
        <w:topLinePunct w:val="0"/>
        <w:autoSpaceDE/>
        <w:autoSpaceDN/>
        <w:bidi w:val="0"/>
        <w:adjustRightInd/>
        <w:snapToGrid/>
        <w:ind w:firstLine="48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根据《关于征集2025年度中国核能行业协会团体标准项目的通知》（核协科函[2024]897号），为提升核电站反应堆</w:t>
      </w:r>
      <w:r>
        <w:rPr>
          <w:rFonts w:hint="eastAsia" w:ascii="Times New Roman" w:hAnsi="Times New Roman" w:cs="Times New Roman"/>
          <w:lang w:val="en-US" w:eastAsia="zh-CN"/>
        </w:rPr>
        <w:t>保护系统</w:t>
      </w:r>
      <w:r>
        <w:rPr>
          <w:rFonts w:hint="default" w:ascii="Times New Roman" w:hAnsi="Times New Roman" w:cs="Times New Roman"/>
          <w:lang w:val="en-US" w:eastAsia="zh-CN"/>
        </w:rPr>
        <w:t>的安全性</w:t>
      </w:r>
      <w:r>
        <w:rPr>
          <w:rFonts w:hint="eastAsia" w:ascii="Times New Roman" w:hAnsi="Times New Roman" w:cs="Times New Roman"/>
          <w:lang w:val="en-US" w:eastAsia="zh-CN"/>
        </w:rPr>
        <w:t>、灵活性与准确性</w:t>
      </w:r>
      <w:r>
        <w:rPr>
          <w:rFonts w:hint="default" w:ascii="Times New Roman" w:hAnsi="Times New Roman" w:cs="Times New Roman"/>
          <w:lang w:val="en-US" w:eastAsia="zh-CN"/>
        </w:rPr>
        <w:t>，并为在线偏离泡核沸腾比与线功率密度保护系统设计提供指导与借鉴，组织编制《</w:t>
      </w:r>
      <w:r>
        <w:rPr>
          <w:rFonts w:hint="default" w:ascii="Times New Roman" w:hAnsi="Times New Roman" w:cs="Times New Roman"/>
        </w:rPr>
        <w:t>在线偏离泡核沸腾比与线功率密度保护系统设计准则</w:t>
      </w:r>
      <w:r>
        <w:rPr>
          <w:rFonts w:hint="default" w:ascii="Times New Roman" w:hAnsi="Times New Roman" w:cs="Times New Roman"/>
          <w:lang w:val="en-US" w:eastAsia="zh-CN"/>
        </w:rPr>
        <w:t>》标准，该标准为一组标准系列，内容包括：总体设计要求等五个部分。本标准名称为《在线偏离泡核沸腾比与线功率密度保护系统设计准则  第1部分：总体设计要求》（根据标准编制过程中专家意见对标准名称做了适应性修改），起草单位为</w:t>
      </w:r>
      <w:r>
        <w:rPr>
          <w:rFonts w:hint="default" w:ascii="Times New Roman" w:hAnsi="Times New Roman" w:cs="Times New Roman"/>
        </w:rPr>
        <w:t>中广核研究院有限公司</w:t>
      </w:r>
      <w:r>
        <w:rPr>
          <w:rFonts w:hint="default" w:ascii="Times New Roman" w:hAnsi="Times New Roman" w:cs="Times New Roman"/>
          <w:lang w:eastAsia="zh-CN"/>
        </w:rPr>
        <w:t>、生态环境部核与辐射安全中心、</w:t>
      </w:r>
      <w:r>
        <w:rPr>
          <w:rFonts w:hint="default" w:ascii="Times New Roman" w:hAnsi="Times New Roman" w:cs="Times New Roman"/>
          <w:lang w:val="en-US" w:eastAsia="zh-CN"/>
        </w:rPr>
        <w:t>中国核动力研究设计院</w:t>
      </w:r>
      <w:r>
        <w:rPr>
          <w:rFonts w:hint="default" w:ascii="Times New Roman" w:hAnsi="Times New Roman" w:cs="Times New Roman"/>
          <w:lang w:eastAsia="zh-CN"/>
        </w:rPr>
        <w:t>、</w:t>
      </w:r>
      <w:r>
        <w:rPr>
          <w:rFonts w:hint="default" w:ascii="Times New Roman" w:hAnsi="Times New Roman" w:cs="Times New Roman"/>
          <w:lang w:val="en-US" w:eastAsia="zh-CN"/>
        </w:rPr>
        <w:t>上海核工程研究设计院、中广核工程有限公司，标准编制周期计划18个月完成。</w:t>
      </w:r>
    </w:p>
    <w:p>
      <w:pPr>
        <w:keepNext w:val="0"/>
        <w:keepLines w:val="0"/>
        <w:pageBreakBefore w:val="0"/>
        <w:widowControl/>
        <w:kinsoku/>
        <w:wordWrap/>
        <w:overflowPunct/>
        <w:topLinePunct w:val="0"/>
        <w:autoSpaceDE/>
        <w:autoSpaceDN/>
        <w:bidi w:val="0"/>
        <w:adjustRightInd/>
        <w:snapToGrid/>
        <w:ind w:firstLine="48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2025年中国核能行业协会召开团体标准立项评审会，《在线偏离泡核沸腾比与线功率密度保护系统设计准则  第1部分：总体设计要求》标准通过立项评审并公示（核协科函[2025]179号）。</w:t>
      </w:r>
    </w:p>
    <w:p>
      <w:pPr>
        <w:rPr>
          <w:rFonts w:hint="eastAsia"/>
        </w:rPr>
      </w:pPr>
    </w:p>
    <w:p>
      <w:pPr>
        <w:rPr>
          <w:b/>
        </w:rPr>
      </w:pPr>
      <w:r>
        <w:rPr>
          <w:rFonts w:hint="eastAsia"/>
          <w:b/>
        </w:rPr>
        <w:t>2、主要工作过程</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中广核研究院有限公司按照《关于征集2025年度中国核能行业协会团体标准项目的通知》的要求提出了中国核能行业协会团体标准项目立项申请并获得批准。中广核研究院有限公司按照标准制定要求，组织成立了标准编制组，广泛地收集国内、国际相关标准及资料、相关经验反馈，在多年良好地工程实践基础上，编制了该标准初稿。</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标准编制组于2024年</w:t>
      </w:r>
      <w:r>
        <w:rPr>
          <w:rFonts w:hint="eastAsia" w:ascii="Times New Roman" w:hAnsi="Times New Roman" w:cs="Times New Roman"/>
          <w:lang w:val="en-US" w:eastAsia="zh-CN"/>
        </w:rPr>
        <w:t>3月启动本标准的编制工作，经过前期调研、资料收集整理、设计方案评估、可行性验证等工作，确定了本标准的名称和主体内容</w:t>
      </w:r>
      <w:r>
        <w:rPr>
          <w:rFonts w:hint="default" w:ascii="Times New Roman" w:hAnsi="Times New Roman" w:cs="Times New Roman"/>
          <w:lang w:val="en-US" w:eastAsia="zh-CN"/>
        </w:rPr>
        <w:t>。</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标准编制组于2025年1月采用线上方式参与了中国核能行业协会组织的标准立项评审会，通过了形式审查、现状检索分析、专家评审，立项申请获得批准。</w:t>
      </w:r>
    </w:p>
    <w:p>
      <w:pPr>
        <w:rPr>
          <w:rFonts w:hint="eastAsia"/>
        </w:rPr>
      </w:pPr>
    </w:p>
    <w:p>
      <w:pPr>
        <w:rPr>
          <w:b/>
        </w:rPr>
      </w:pPr>
      <w:r>
        <w:rPr>
          <w:rFonts w:hint="eastAsia"/>
          <w:b/>
        </w:rPr>
        <w:t>3、</w:t>
      </w:r>
      <w:r>
        <w:rPr>
          <w:b/>
        </w:rPr>
        <w:t>主要参加单位和工作组成员及其所作的工作等</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本标准编制的参与单位和分工如下：</w:t>
      </w:r>
      <w:r>
        <w:rPr>
          <w:rFonts w:hint="default" w:ascii="Times New Roman" w:hAnsi="Times New Roman" w:cs="Times New Roman"/>
          <w:lang w:val="en-US" w:eastAsia="zh-CN"/>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3709"/>
        <w:gridCol w:w="1972"/>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70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单位名称</w:t>
            </w:r>
          </w:p>
        </w:tc>
        <w:tc>
          <w:tcPr>
            <w:tcW w:w="1972"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编写分工</w:t>
            </w:r>
          </w:p>
        </w:tc>
        <w:tc>
          <w:tcPr>
            <w:tcW w:w="284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主要承担工作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70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default" w:ascii="Times New Roman" w:hAnsi="Times New Roman" w:cs="Times New Roman"/>
              </w:rPr>
              <w:t>中广核研究院有限公司</w:t>
            </w:r>
          </w:p>
        </w:tc>
        <w:tc>
          <w:tcPr>
            <w:tcW w:w="1972"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主编单位</w:t>
            </w:r>
          </w:p>
        </w:tc>
        <w:tc>
          <w:tcPr>
            <w:tcW w:w="284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标准内容编写与确认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70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default" w:ascii="Times New Roman" w:hAnsi="Times New Roman" w:cs="Times New Roman"/>
                <w:lang w:eastAsia="zh-CN"/>
              </w:rPr>
              <w:t>生态环境部核与辐射安全中心</w:t>
            </w:r>
          </w:p>
        </w:tc>
        <w:tc>
          <w:tcPr>
            <w:tcW w:w="1972"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参编单位</w:t>
            </w:r>
          </w:p>
        </w:tc>
        <w:tc>
          <w:tcPr>
            <w:tcW w:w="284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标准意见讨论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70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中国核动力研究设计院</w:t>
            </w:r>
          </w:p>
        </w:tc>
        <w:tc>
          <w:tcPr>
            <w:tcW w:w="1972"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参编单位</w:t>
            </w:r>
          </w:p>
        </w:tc>
        <w:tc>
          <w:tcPr>
            <w:tcW w:w="284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标准意见讨论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70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上海核工程研究设计院</w:t>
            </w:r>
          </w:p>
        </w:tc>
        <w:tc>
          <w:tcPr>
            <w:tcW w:w="1972"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参编单位</w:t>
            </w:r>
          </w:p>
        </w:tc>
        <w:tc>
          <w:tcPr>
            <w:tcW w:w="284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标准意见讨论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709"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中广核工程有限公司</w:t>
            </w:r>
          </w:p>
        </w:tc>
        <w:tc>
          <w:tcPr>
            <w:tcW w:w="1972"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参编单位</w:t>
            </w:r>
          </w:p>
        </w:tc>
        <w:tc>
          <w:tcPr>
            <w:tcW w:w="2841"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标准意见讨论</w:t>
            </w:r>
          </w:p>
        </w:tc>
      </w:tr>
    </w:tbl>
    <w:p/>
    <w:p>
      <w:pPr>
        <w:outlineLvl w:val="0"/>
        <w:rPr>
          <w:b/>
          <w:sz w:val="28"/>
          <w:szCs w:val="28"/>
        </w:rPr>
      </w:pPr>
      <w:r>
        <w:rPr>
          <w:rFonts w:hint="eastAsia"/>
          <w:b/>
          <w:sz w:val="28"/>
          <w:szCs w:val="28"/>
        </w:rPr>
        <w:t>二、标准编制原则和主要内容</w:t>
      </w:r>
    </w:p>
    <w:p>
      <w:pPr>
        <w:rPr>
          <w:b/>
        </w:rPr>
      </w:pPr>
      <w:r>
        <w:rPr>
          <w:rFonts w:hint="eastAsia"/>
          <w:b/>
        </w:rPr>
        <w:t>1、标准编制原则</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本标准的编制旨在为核电厂与相关设计单位提供</w:t>
      </w:r>
      <w:r>
        <w:rPr>
          <w:rFonts w:hint="default" w:ascii="Times New Roman" w:hAnsi="Times New Roman" w:cs="Times New Roman"/>
          <w:lang w:val="en-US" w:eastAsia="zh-CN"/>
        </w:rPr>
        <w:t>在线偏离泡核沸腾比与线功率密度保护系统</w:t>
      </w:r>
      <w:r>
        <w:rPr>
          <w:rFonts w:hint="eastAsia" w:ascii="Times New Roman" w:hAnsi="Times New Roman" w:cs="Times New Roman"/>
          <w:lang w:val="en-US" w:eastAsia="zh-CN"/>
        </w:rPr>
        <w:t>的</w:t>
      </w:r>
      <w:r>
        <w:rPr>
          <w:rFonts w:hint="default" w:ascii="Times New Roman" w:hAnsi="Times New Roman" w:cs="Times New Roman"/>
          <w:lang w:val="en-US" w:eastAsia="zh-CN"/>
        </w:rPr>
        <w:t>设计</w:t>
      </w:r>
      <w:r>
        <w:rPr>
          <w:rFonts w:hint="eastAsia" w:ascii="Times New Roman" w:hAnsi="Times New Roman" w:cs="Times New Roman"/>
          <w:lang w:val="en-US" w:eastAsia="zh-CN"/>
        </w:rPr>
        <w:t>指导，本标准本着科学性、先进性与实用性的原则编制。</w:t>
      </w:r>
    </w:p>
    <w:p>
      <w:pPr>
        <w:keepNext w:val="0"/>
        <w:keepLines w:val="0"/>
        <w:pageBreakBefore w:val="0"/>
        <w:widowControl/>
        <w:numPr>
          <w:ilvl w:val="0"/>
          <w:numId w:val="1"/>
        </w:numPr>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科学性</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本标准研究推广</w:t>
      </w:r>
      <w:r>
        <w:rPr>
          <w:rFonts w:hint="default" w:ascii="Times New Roman" w:hAnsi="Times New Roman" w:cs="Times New Roman"/>
          <w:lang w:val="en-US" w:eastAsia="zh-CN"/>
        </w:rPr>
        <w:t>在线偏离泡核沸腾比与线功率密度保护系统</w:t>
      </w:r>
      <w:r>
        <w:rPr>
          <w:rFonts w:hint="eastAsia" w:ascii="Times New Roman" w:hAnsi="Times New Roman" w:cs="Times New Roman"/>
          <w:lang w:val="en-US" w:eastAsia="zh-CN"/>
        </w:rPr>
        <w:t>在核电站</w:t>
      </w:r>
      <w:r>
        <w:rPr>
          <w:rFonts w:hint="default" w:ascii="Times New Roman" w:hAnsi="Times New Roman" w:cs="Times New Roman"/>
          <w:lang w:val="en-US" w:eastAsia="zh-CN"/>
        </w:rPr>
        <w:t>反应堆</w:t>
      </w:r>
      <w:r>
        <w:rPr>
          <w:rFonts w:hint="eastAsia" w:ascii="Times New Roman" w:hAnsi="Times New Roman" w:cs="Times New Roman"/>
          <w:lang w:val="en-US" w:eastAsia="zh-CN"/>
        </w:rPr>
        <w:t>中的应用，提高核电站</w:t>
      </w:r>
      <w:r>
        <w:rPr>
          <w:rFonts w:hint="default" w:ascii="Times New Roman" w:hAnsi="Times New Roman" w:cs="Times New Roman"/>
          <w:lang w:val="en-US" w:eastAsia="zh-CN"/>
        </w:rPr>
        <w:t>反应堆</w:t>
      </w:r>
      <w:r>
        <w:rPr>
          <w:rFonts w:hint="eastAsia" w:ascii="Times New Roman" w:hAnsi="Times New Roman" w:cs="Times New Roman"/>
          <w:lang w:val="en-US" w:eastAsia="zh-CN"/>
        </w:rPr>
        <w:t>保护系统的安全性、灵活性与准确性水平，更好保障核电站运行安全稳定。</w:t>
      </w:r>
    </w:p>
    <w:p>
      <w:pPr>
        <w:keepNext w:val="0"/>
        <w:keepLines w:val="0"/>
        <w:pageBreakBefore w:val="0"/>
        <w:widowControl/>
        <w:numPr>
          <w:ilvl w:val="0"/>
          <w:numId w:val="1"/>
        </w:numPr>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先进性</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本标准充分考虑了国际上相关系统的设计方案与运用实例，并充分调研了国内、国际上最新的相关技术文件与文献资料，并以此为基础进行了有效的技术改进。</w:t>
      </w:r>
    </w:p>
    <w:p>
      <w:pPr>
        <w:keepNext w:val="0"/>
        <w:keepLines w:val="0"/>
        <w:pageBreakBefore w:val="0"/>
        <w:widowControl/>
        <w:numPr>
          <w:ilvl w:val="0"/>
          <w:numId w:val="1"/>
        </w:numPr>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实用性</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本标准规定了</w:t>
      </w:r>
      <w:r>
        <w:rPr>
          <w:rFonts w:hint="default" w:ascii="Times New Roman" w:hAnsi="Times New Roman" w:cs="Times New Roman"/>
          <w:lang w:val="en-US" w:eastAsia="zh-CN"/>
        </w:rPr>
        <w:t>在线偏离泡核沸腾比与线功率密度保护系统</w:t>
      </w:r>
      <w:r>
        <w:rPr>
          <w:rFonts w:hint="eastAsia" w:ascii="Times New Roman" w:hAnsi="Times New Roman" w:cs="Times New Roman"/>
          <w:lang w:val="en-US" w:eastAsia="zh-CN"/>
        </w:rPr>
        <w:t>设计工作的总体设计要求，实现对各个设计、验证环节的规范化建立，减少其主观性、随意性，从而达到提高</w:t>
      </w:r>
      <w:r>
        <w:rPr>
          <w:rFonts w:hint="default" w:ascii="Times New Roman" w:hAnsi="Times New Roman" w:cs="Times New Roman"/>
          <w:lang w:val="en-US" w:eastAsia="zh-CN"/>
        </w:rPr>
        <w:t>在线偏离泡核沸腾比与线功率密度保护系统</w:t>
      </w:r>
      <w:r>
        <w:rPr>
          <w:rFonts w:hint="eastAsia" w:ascii="Times New Roman" w:hAnsi="Times New Roman" w:cs="Times New Roman"/>
          <w:lang w:val="en-US" w:eastAsia="zh-CN"/>
        </w:rPr>
        <w:t>设计水平的目的。</w:t>
      </w:r>
    </w:p>
    <w:p>
      <w:pPr>
        <w:rPr>
          <w:b/>
        </w:rPr>
      </w:pPr>
      <w:r>
        <w:rPr>
          <w:rFonts w:hint="eastAsia"/>
          <w:b/>
        </w:rPr>
        <w:t>2、标准主要内容的依据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本标准的规范性引用文件按照国家标准的统一导语，并根据被引用标准的情况，对所引用的标准采用不注日期引用。标准编写的格式遵从GB/T 1. 1-2020的要求，内容包括：</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 范围</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 规范性引用文件</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 术语和定义</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 总体原则</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 设计准则</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 安全准则</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7 总体设计要求</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8 详细设计要求</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9 可靠性设计要求</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10 基于计算机系统的补充要求</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11 验证要求</w:t>
      </w:r>
    </w:p>
    <w:p>
      <w:pPr>
        <w:rPr>
          <w:b/>
        </w:rPr>
      </w:pPr>
      <w:r>
        <w:rPr>
          <w:rFonts w:hint="eastAsia"/>
          <w:b/>
        </w:rPr>
        <w:t>3、解决的主要问题</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目前，我国核电行业在设计</w:t>
      </w:r>
      <w:r>
        <w:rPr>
          <w:rFonts w:hint="default" w:ascii="Times New Roman" w:hAnsi="Times New Roman" w:cs="Times New Roman"/>
          <w:lang w:val="en-US" w:eastAsia="zh-CN"/>
        </w:rPr>
        <w:t>在线偏离泡核沸腾比与线功率密度保护系统</w:t>
      </w:r>
      <w:r>
        <w:rPr>
          <w:rFonts w:hint="eastAsia" w:ascii="Times New Roman" w:hAnsi="Times New Roman" w:cs="Times New Roman"/>
          <w:lang w:val="en-US" w:eastAsia="zh-CN"/>
        </w:rPr>
        <w:t>时缺乏标准指南，本标准的建立有助于</w:t>
      </w:r>
      <w:r>
        <w:rPr>
          <w:rFonts w:hint="default" w:ascii="Times New Roman" w:hAnsi="Times New Roman" w:cs="Times New Roman"/>
          <w:lang w:val="en-US" w:eastAsia="zh-CN"/>
        </w:rPr>
        <w:t>在线偏离泡核沸腾比与线功率密度保护系统</w:t>
      </w:r>
      <w:r>
        <w:rPr>
          <w:rFonts w:hint="eastAsia" w:ascii="Times New Roman" w:hAnsi="Times New Roman" w:cs="Times New Roman"/>
          <w:lang w:val="en-US" w:eastAsia="zh-CN"/>
        </w:rPr>
        <w:t>设计的规范化和标准化，指导帮助相关单位、企业设计符合核电行业要求的</w:t>
      </w:r>
      <w:r>
        <w:rPr>
          <w:rFonts w:hint="default" w:ascii="Times New Roman" w:hAnsi="Times New Roman" w:cs="Times New Roman"/>
          <w:lang w:val="en-US" w:eastAsia="zh-CN"/>
        </w:rPr>
        <w:t>在线偏离泡核沸腾比与线功率密度保护系统</w:t>
      </w:r>
      <w:r>
        <w:rPr>
          <w:rFonts w:hint="eastAsia" w:ascii="Times New Roman" w:hAnsi="Times New Roman" w:cs="Times New Roman"/>
          <w:lang w:val="en-US" w:eastAsia="zh-CN"/>
        </w:rPr>
        <w:t>。</w:t>
      </w:r>
    </w:p>
    <w:p>
      <w:pPr>
        <w:rPr>
          <w:rFonts w:hint="eastAsia"/>
        </w:rPr>
      </w:pPr>
    </w:p>
    <w:p>
      <w:pPr>
        <w:outlineLvl w:val="0"/>
        <w:rPr>
          <w:b/>
          <w:sz w:val="28"/>
          <w:szCs w:val="28"/>
        </w:rPr>
      </w:pPr>
      <w:r>
        <w:rPr>
          <w:rFonts w:hint="eastAsia"/>
          <w:b/>
          <w:sz w:val="28"/>
          <w:szCs w:val="28"/>
        </w:rPr>
        <w:t>三、主要试验（或验证）情况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本标准提出的</w:t>
      </w:r>
      <w:r>
        <w:rPr>
          <w:rFonts w:hint="default" w:ascii="Times New Roman" w:hAnsi="Times New Roman" w:cs="Times New Roman"/>
          <w:lang w:val="en-US" w:eastAsia="zh-CN"/>
        </w:rPr>
        <w:t>在线偏离泡核沸腾比与线功率密度保护系统</w:t>
      </w:r>
      <w:r>
        <w:rPr>
          <w:rFonts w:hint="eastAsia" w:ascii="Times New Roman" w:hAnsi="Times New Roman" w:cs="Times New Roman"/>
          <w:lang w:val="en-US" w:eastAsia="zh-CN"/>
        </w:rPr>
        <w:t>，目前已在华龙一号（防城港核电厂3号机组）通过实堆验证。保护系统运行稳定、可靠，运行结果符合预期，能够保证反应堆安全，并且能够有效提升反应堆运行裕量。</w:t>
      </w:r>
    </w:p>
    <w:p>
      <w:pPr>
        <w:rPr>
          <w:rFonts w:hint="eastAsia"/>
        </w:rPr>
      </w:pPr>
    </w:p>
    <w:p>
      <w:pPr>
        <w:outlineLvl w:val="0"/>
        <w:rPr>
          <w:b/>
          <w:sz w:val="28"/>
          <w:szCs w:val="28"/>
        </w:rPr>
      </w:pPr>
      <w:r>
        <w:rPr>
          <w:rFonts w:hint="eastAsia"/>
          <w:b/>
          <w:sz w:val="28"/>
          <w:szCs w:val="28"/>
        </w:rPr>
        <w:t>四、标准中涉及专利的情况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本标准不涉及专利问题。</w:t>
      </w:r>
    </w:p>
    <w:p>
      <w:pPr>
        <w:rPr>
          <w:rFonts w:hint="eastAsia"/>
        </w:rPr>
      </w:pPr>
    </w:p>
    <w:p>
      <w:pPr>
        <w:outlineLvl w:val="0"/>
        <w:rPr>
          <w:b/>
          <w:sz w:val="28"/>
          <w:szCs w:val="28"/>
        </w:rPr>
      </w:pPr>
      <w:r>
        <w:rPr>
          <w:rFonts w:hint="eastAsia"/>
          <w:b/>
          <w:sz w:val="28"/>
          <w:szCs w:val="28"/>
        </w:rPr>
        <w:t>五、预期达到的社会效益、对产业发展的作用等情况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本标准的编制填补了国内核电行业</w:t>
      </w:r>
      <w:r>
        <w:rPr>
          <w:rFonts w:hint="default" w:ascii="Times New Roman" w:hAnsi="Times New Roman" w:cs="Times New Roman"/>
          <w:lang w:val="en-US" w:eastAsia="zh-CN"/>
        </w:rPr>
        <w:t>在线偏离泡核沸腾比与线功率密度保护系统</w:t>
      </w:r>
      <w:r>
        <w:rPr>
          <w:rFonts w:hint="eastAsia" w:ascii="Times New Roman" w:hAnsi="Times New Roman" w:cs="Times New Roman"/>
          <w:lang w:val="en-US" w:eastAsia="zh-CN"/>
        </w:rPr>
        <w:t>设计指南方面的空白。本标准立足于核电站反应堆运行可靠性、安全性的实际需求，结合工程实践结果，建立了</w:t>
      </w:r>
      <w:r>
        <w:rPr>
          <w:rFonts w:hint="default" w:ascii="Times New Roman" w:hAnsi="Times New Roman" w:cs="Times New Roman"/>
          <w:lang w:val="en-US" w:eastAsia="zh-CN"/>
        </w:rPr>
        <w:t>在线偏离泡核沸腾比与线功率密度保护系统</w:t>
      </w:r>
      <w:r>
        <w:rPr>
          <w:rFonts w:hint="eastAsia" w:ascii="Times New Roman" w:hAnsi="Times New Roman" w:cs="Times New Roman"/>
          <w:lang w:val="en-US" w:eastAsia="zh-CN"/>
        </w:rPr>
        <w:t>的总体设计方法。本标准可帮助核电站提升反应堆保护系统的</w:t>
      </w:r>
      <w:r>
        <w:rPr>
          <w:rFonts w:hint="default" w:ascii="Times New Roman" w:hAnsi="Times New Roman" w:cs="Times New Roman"/>
          <w:lang w:val="en-US" w:eastAsia="zh-CN"/>
        </w:rPr>
        <w:t>安全性</w:t>
      </w:r>
      <w:r>
        <w:rPr>
          <w:rFonts w:hint="eastAsia" w:ascii="Times New Roman" w:hAnsi="Times New Roman" w:cs="Times New Roman"/>
          <w:lang w:val="en-US" w:eastAsia="zh-CN"/>
        </w:rPr>
        <w:t>、灵活性与准确性，推动核能行业发展，助力相关技术研发。应用本标准后，将对提升核电站反应堆运行安全性，提高正常运行裕量带来良好收益。</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p>
    <w:p>
      <w:pPr>
        <w:outlineLvl w:val="0"/>
        <w:rPr>
          <w:b/>
          <w:sz w:val="28"/>
          <w:szCs w:val="28"/>
        </w:rPr>
      </w:pPr>
      <w:r>
        <w:rPr>
          <w:rFonts w:hint="eastAsia"/>
          <w:b/>
          <w:sz w:val="28"/>
          <w:szCs w:val="28"/>
        </w:rPr>
        <w:t>六、与国际、国外对比情况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本标准制定时国内、国际上尚无正式发布的相关技术标准。</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国内、国际上与本标准相关的技术较为成熟，本标准主编以及参编单位均具有</w:t>
      </w:r>
      <w:r>
        <w:rPr>
          <w:rFonts w:hint="default" w:ascii="Times New Roman" w:hAnsi="Times New Roman" w:cs="Times New Roman"/>
          <w:lang w:val="en-US" w:eastAsia="zh-CN"/>
        </w:rPr>
        <w:t>在线偏离泡核沸腾比与线功率密度保护系统</w:t>
      </w:r>
      <w:r>
        <w:rPr>
          <w:rFonts w:hint="eastAsia" w:ascii="Times New Roman" w:hAnsi="Times New Roman" w:cs="Times New Roman"/>
          <w:lang w:val="en-US" w:eastAsia="zh-CN"/>
        </w:rPr>
        <w:t>设计经验，并且主编单位已完成相关实际验证，具备准编制条件。</w:t>
      </w:r>
    </w:p>
    <w:p/>
    <w:p>
      <w:pPr>
        <w:outlineLvl w:val="0"/>
        <w:rPr>
          <w:b/>
          <w:sz w:val="28"/>
          <w:szCs w:val="28"/>
        </w:rPr>
      </w:pPr>
      <w:r>
        <w:rPr>
          <w:rFonts w:hint="eastAsia"/>
          <w:b/>
          <w:sz w:val="28"/>
          <w:szCs w:val="28"/>
        </w:rPr>
        <w:t>七、在标准体系中的位置，与现行相关法律、法规、规章及标准，特别是强制性标准的协调性</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本标准与现行相关法律、法规、规章及相关标准协调一致，充分考虑了与核安全法规以及强制性标准的协调性。</w:t>
      </w:r>
    </w:p>
    <w:p>
      <w:pPr>
        <w:outlineLvl w:val="0"/>
        <w:rPr>
          <w:rFonts w:hint="eastAsia"/>
          <w:b/>
          <w:sz w:val="28"/>
          <w:szCs w:val="28"/>
        </w:rPr>
      </w:pPr>
    </w:p>
    <w:p>
      <w:pPr>
        <w:outlineLvl w:val="0"/>
        <w:rPr>
          <w:b/>
          <w:sz w:val="28"/>
          <w:szCs w:val="28"/>
        </w:rPr>
      </w:pPr>
      <w:r>
        <w:rPr>
          <w:rFonts w:hint="eastAsia"/>
          <w:b/>
          <w:sz w:val="28"/>
          <w:szCs w:val="28"/>
        </w:rPr>
        <w:t>八、重大分歧意见的处理经过和依据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无。</w:t>
      </w:r>
    </w:p>
    <w:p>
      <w:pPr>
        <w:rPr>
          <w:rFonts w:hint="eastAsia"/>
        </w:rPr>
      </w:pPr>
    </w:p>
    <w:p>
      <w:pPr>
        <w:outlineLvl w:val="0"/>
        <w:rPr>
          <w:b/>
          <w:sz w:val="28"/>
          <w:szCs w:val="28"/>
        </w:rPr>
      </w:pPr>
      <w:r>
        <w:rPr>
          <w:rFonts w:hint="eastAsia"/>
          <w:b/>
          <w:sz w:val="28"/>
          <w:szCs w:val="28"/>
        </w:rPr>
        <w:t>九、标准性质的建议说明</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建议本标准的性质为团体标准。</w:t>
      </w:r>
    </w:p>
    <w:p>
      <w:pPr>
        <w:rPr>
          <w:rFonts w:hint="eastAsia"/>
          <w:i/>
        </w:rPr>
      </w:pPr>
    </w:p>
    <w:p>
      <w:pPr>
        <w:outlineLvl w:val="0"/>
        <w:rPr>
          <w:b/>
          <w:sz w:val="28"/>
          <w:szCs w:val="28"/>
        </w:rPr>
      </w:pPr>
      <w:r>
        <w:rPr>
          <w:rFonts w:hint="eastAsia"/>
          <w:b/>
          <w:sz w:val="28"/>
          <w:szCs w:val="28"/>
        </w:rPr>
        <w:t>十、贯彻标准的要求和措施建议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标准发布后，中广核研究院有限公司将配合中国核能行业协会组织行业召开标准宣贯会，开展培训活动，促进该标准更好的贯彻实施。</w:t>
      </w:r>
    </w:p>
    <w:p>
      <w:pPr>
        <w:rPr>
          <w:rFonts w:hint="eastAsia"/>
          <w:i/>
        </w:rPr>
      </w:pPr>
    </w:p>
    <w:p>
      <w:pPr>
        <w:outlineLvl w:val="0"/>
        <w:rPr>
          <w:b/>
          <w:sz w:val="28"/>
          <w:szCs w:val="28"/>
        </w:rPr>
      </w:pPr>
      <w:r>
        <w:rPr>
          <w:rFonts w:hint="eastAsia"/>
          <w:b/>
          <w:sz w:val="28"/>
          <w:szCs w:val="28"/>
        </w:rPr>
        <w:t>十一、废止现行相关标准的建议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不涉及。</w:t>
      </w:r>
    </w:p>
    <w:p>
      <w:pPr>
        <w:outlineLvl w:val="0"/>
        <w:rPr>
          <w:b/>
          <w:sz w:val="28"/>
          <w:szCs w:val="28"/>
        </w:rPr>
      </w:pPr>
      <w:r>
        <w:rPr>
          <w:rFonts w:hint="eastAsia"/>
          <w:b/>
          <w:sz w:val="28"/>
          <w:szCs w:val="28"/>
        </w:rPr>
        <w:t>十二、其他应予说明的事项</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无。</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7F0360"/>
    <w:multiLevelType w:val="singleLevel"/>
    <w:tmpl w:val="F17F036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C204E"/>
    <w:rsid w:val="00132C00"/>
    <w:rsid w:val="00161CD2"/>
    <w:rsid w:val="0024244C"/>
    <w:rsid w:val="00285F39"/>
    <w:rsid w:val="002E1F35"/>
    <w:rsid w:val="004445E9"/>
    <w:rsid w:val="004656F6"/>
    <w:rsid w:val="00520FE0"/>
    <w:rsid w:val="006633BA"/>
    <w:rsid w:val="006A6B56"/>
    <w:rsid w:val="006E0F94"/>
    <w:rsid w:val="0070047E"/>
    <w:rsid w:val="00764E9E"/>
    <w:rsid w:val="008835EF"/>
    <w:rsid w:val="008F0708"/>
    <w:rsid w:val="00A33BF8"/>
    <w:rsid w:val="00A56356"/>
    <w:rsid w:val="00A740E0"/>
    <w:rsid w:val="00AB5F92"/>
    <w:rsid w:val="00AC1E52"/>
    <w:rsid w:val="00AE1F12"/>
    <w:rsid w:val="00B24A56"/>
    <w:rsid w:val="00C478E3"/>
    <w:rsid w:val="00CB603C"/>
    <w:rsid w:val="00DC29B1"/>
    <w:rsid w:val="00E0783F"/>
    <w:rsid w:val="00F60B7D"/>
    <w:rsid w:val="00FB6407"/>
    <w:rsid w:val="156373D2"/>
    <w:rsid w:val="15CA37BF"/>
    <w:rsid w:val="16976EDD"/>
    <w:rsid w:val="23FC061F"/>
    <w:rsid w:val="270B5D16"/>
    <w:rsid w:val="36B93490"/>
    <w:rsid w:val="4AD52051"/>
    <w:rsid w:val="4C6252F1"/>
    <w:rsid w:val="4E0D16DD"/>
    <w:rsid w:val="55E65314"/>
    <w:rsid w:val="5BC722B0"/>
    <w:rsid w:val="67F95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firstLine="420" w:firstLineChars="200"/>
    </w:pPr>
  </w:style>
  <w:style w:type="paragraph" w:customStyle="1" w:styleId="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185</Words>
  <Characters>1061</Characters>
  <Lines>8</Lines>
  <Paragraphs>2</Paragraphs>
  <TotalTime>3</TotalTime>
  <ScaleCrop>false</ScaleCrop>
  <LinksUpToDate>false</LinksUpToDate>
  <CharactersWithSpaces>1244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P267660</cp:lastModifiedBy>
  <dcterms:modified xsi:type="dcterms:W3CDTF">2025-07-04T09:09:55Z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